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Pr>
          <w:rFonts w:ascii="Helvetica" w:eastAsia="Times New Roman" w:hAnsi="Helvetica" w:cs="Helvetica"/>
          <w:color w:val="333333"/>
          <w:sz w:val="24"/>
          <w:szCs w:val="24"/>
          <w:lang w:eastAsia="fr-FR"/>
        </w:rPr>
        <w:t xml:space="preserve">                        </w:t>
      </w:r>
      <w:r w:rsidRPr="00282600">
        <w:rPr>
          <w:rFonts w:ascii="Helvetica" w:eastAsia="Times New Roman" w:hAnsi="Helvetica" w:cs="Helvetica"/>
          <w:color w:val="333333"/>
          <w:sz w:val="24"/>
          <w:szCs w:val="24"/>
          <w:lang w:eastAsia="fr-FR"/>
        </w:rPr>
        <w:br/>
        <w:t>L’Ecole Supérieure Technique Privée IFOPI propose des formations  post-Bac proches de l’univers professionnel puisant sa richesse dans la variété des diplômes  et de leur importance sur le marché de l’emploi.</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Le statut de l’école supérieure  IFOPI (écoles déclarées au Rectorat sous le statut d'école technique supérieure privée) permet de dispenser des formations dans le cadre de la formation initiale. Ce type de formation concerne celles et ceux qui désirent se consacrer à temps plein à leurs études.</w:t>
      </w:r>
      <w:r w:rsidRPr="00282600">
        <w:rPr>
          <w:rFonts w:ascii="Helvetica" w:eastAsia="Times New Roman" w:hAnsi="Helvetica" w:cs="Helvetica"/>
          <w:b/>
          <w:bCs/>
          <w:color w:val="333333"/>
          <w:sz w:val="24"/>
          <w:szCs w:val="24"/>
          <w:lang w:eastAsia="fr-FR"/>
        </w:rPr>
        <w:t> </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color w:val="333333"/>
          <w:sz w:val="24"/>
          <w:szCs w:val="24"/>
          <w:lang w:eastAsia="fr-FR"/>
        </w:rPr>
        <w:t> </w:t>
      </w:r>
    </w:p>
    <w:p w:rsidR="00282600" w:rsidRPr="00282600" w:rsidRDefault="00282600" w:rsidP="00282600">
      <w:pPr>
        <w:shd w:val="clear" w:color="auto" w:fill="FFFFFF"/>
        <w:spacing w:after="48" w:line="150" w:lineRule="atLeast"/>
        <w:rPr>
          <w:rFonts w:ascii="Helvetica" w:eastAsia="Times New Roman" w:hAnsi="Helvetica" w:cs="Helvetica"/>
          <w:color w:val="333333"/>
          <w:sz w:val="12"/>
          <w:szCs w:val="12"/>
          <w:lang w:eastAsia="fr-FR"/>
        </w:rPr>
      </w:pPr>
      <w:r w:rsidRPr="00282600">
        <w:rPr>
          <w:rFonts w:ascii="Helvetica" w:eastAsia="Times New Roman" w:hAnsi="Helvetica" w:cs="Helvetica"/>
          <w:b/>
          <w:bCs/>
          <w:color w:val="E08600"/>
          <w:sz w:val="24"/>
          <w:szCs w:val="24"/>
          <w:lang w:eastAsia="fr-FR"/>
        </w:rPr>
        <w:t>LOCALISATION</w:t>
      </w:r>
      <w:r w:rsidRPr="00282600">
        <w:rPr>
          <w:rFonts w:ascii="Helvetica" w:eastAsia="Times New Roman" w:hAnsi="Helvetica" w:cs="Helvetica"/>
          <w:b/>
          <w:bCs/>
          <w:color w:val="F49200"/>
          <w:sz w:val="24"/>
          <w:szCs w:val="24"/>
          <w:lang w:eastAsia="fr-FR"/>
        </w:rPr>
        <w:t> </w:t>
      </w:r>
      <w:r w:rsidRPr="00282600">
        <w:rPr>
          <w:rFonts w:ascii="Helvetica" w:eastAsia="Times New Roman" w:hAnsi="Helvetica" w:cs="Helvetica"/>
          <w:color w:val="F49200"/>
          <w:sz w:val="24"/>
          <w:szCs w:val="24"/>
          <w:lang w:eastAsia="fr-FR"/>
        </w:rPr>
        <w:t> </w:t>
      </w:r>
    </w:p>
    <w:p w:rsidR="00282600" w:rsidRPr="00282600" w:rsidRDefault="00282600" w:rsidP="00282600">
      <w:pPr>
        <w:numPr>
          <w:ilvl w:val="0"/>
          <w:numId w:val="1"/>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Située à Paris place de la Bastille</w:t>
      </w:r>
    </w:p>
    <w:p w:rsidR="00282600" w:rsidRPr="00282600" w:rsidRDefault="00282600" w:rsidP="00282600">
      <w:pPr>
        <w:numPr>
          <w:ilvl w:val="0"/>
          <w:numId w:val="1"/>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Parfaitement desservie par les transports en communs</w:t>
      </w:r>
    </w:p>
    <w:p w:rsidR="00282600" w:rsidRPr="00282600" w:rsidRDefault="00282600" w:rsidP="00282600">
      <w:pPr>
        <w:numPr>
          <w:ilvl w:val="0"/>
          <w:numId w:val="1"/>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 xml:space="preserve">Implantée au </w:t>
      </w:r>
      <w:proofErr w:type="spellStart"/>
      <w:r w:rsidRPr="00282600">
        <w:rPr>
          <w:rFonts w:ascii="Helvetica" w:eastAsia="Times New Roman" w:hAnsi="Helvetica" w:cs="Helvetica"/>
          <w:color w:val="333333"/>
          <w:sz w:val="24"/>
          <w:szCs w:val="24"/>
          <w:lang w:eastAsia="fr-FR"/>
        </w:rPr>
        <w:t>coeur</w:t>
      </w:r>
      <w:proofErr w:type="spellEnd"/>
      <w:r w:rsidRPr="00282600">
        <w:rPr>
          <w:rFonts w:ascii="Helvetica" w:eastAsia="Times New Roman" w:hAnsi="Helvetica" w:cs="Helvetica"/>
          <w:color w:val="333333"/>
          <w:sz w:val="24"/>
          <w:szCs w:val="24"/>
          <w:lang w:eastAsia="fr-FR"/>
        </w:rPr>
        <w:t xml:space="preserve"> de la capitale</w:t>
      </w:r>
    </w:p>
    <w:p w:rsidR="00282600" w:rsidRPr="00282600" w:rsidRDefault="00282600" w:rsidP="00282600">
      <w:pPr>
        <w:numPr>
          <w:ilvl w:val="0"/>
          <w:numId w:val="1"/>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À proximité de hauts lieux historiques</w:t>
      </w:r>
    </w:p>
    <w:p w:rsidR="00282600" w:rsidRPr="00282600" w:rsidRDefault="00282600" w:rsidP="00282600">
      <w:pPr>
        <w:numPr>
          <w:ilvl w:val="0"/>
          <w:numId w:val="1"/>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Dans un quartier très vivant</w:t>
      </w:r>
      <w:r w:rsidRPr="00282600">
        <w:rPr>
          <w:rFonts w:ascii="Helvetica" w:eastAsia="Times New Roman" w:hAnsi="Helvetica" w:cs="Helvetica"/>
          <w:b/>
          <w:bCs/>
          <w:color w:val="333333"/>
          <w:sz w:val="24"/>
          <w:szCs w:val="24"/>
          <w:lang w:eastAsia="fr-FR"/>
        </w:rPr>
        <w:t> </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color w:val="E08600"/>
          <w:sz w:val="24"/>
          <w:szCs w:val="24"/>
          <w:lang w:eastAsia="fr-FR"/>
        </w:rPr>
        <w:t>CONDITIONS OPTIMALES</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Une équipe pédagogique hautement qualifiée</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Un réseau d’entreprises partenaires fidèles</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Salles spacieuses et modernes</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Accès wifi à disposition</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Espace de détente convivial</w:t>
      </w:r>
    </w:p>
    <w:p w:rsidR="00282600" w:rsidRPr="00282600" w:rsidRDefault="00282600" w:rsidP="00282600">
      <w:pPr>
        <w:numPr>
          <w:ilvl w:val="0"/>
          <w:numId w:val="2"/>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Centre Multimédia de Ressources Pédagogiques en accès libre</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color w:val="333333"/>
          <w:sz w:val="24"/>
          <w:szCs w:val="24"/>
          <w:lang w:eastAsia="fr-FR"/>
        </w:rPr>
        <w:t> </w:t>
      </w:r>
      <w:r w:rsidRPr="00282600">
        <w:rPr>
          <w:rFonts w:ascii="Helvetica" w:eastAsia="Times New Roman" w:hAnsi="Helvetica" w:cs="Helvetica"/>
          <w:b/>
          <w:bCs/>
          <w:color w:val="E08600"/>
          <w:sz w:val="24"/>
          <w:szCs w:val="24"/>
          <w:lang w:eastAsia="fr-FR"/>
        </w:rPr>
        <w:t>FORMATIONS DIPLÔMANTES (EN INITIAL, ALTERNANCE OU EN CONTINU)</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i/>
          <w:iCs/>
          <w:color w:val="FF9900"/>
          <w:sz w:val="24"/>
          <w:szCs w:val="24"/>
          <w:lang w:eastAsia="fr-FR"/>
        </w:rPr>
        <w:t> </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i/>
          <w:iCs/>
          <w:color w:val="333333"/>
          <w:sz w:val="24"/>
          <w:szCs w:val="24"/>
          <w:lang w:eastAsia="fr-FR"/>
        </w:rPr>
        <w:t>BTS (1) : Brevet de Technicien Supérieur </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BTS SIO : Services Informatiques aux Organisations (Option SLAM Solutions Logicielles &amp; Applications Métiers)</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BTS SIO : Services Informatiques aux Organisations (Option SISR Solutions d'Infrastructure, Systèmes et Réseaux)</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BTS MUC : Management des Unités Commerciales</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BTS CGO : Comptabilité et Gestion des Organisations</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 BTS NRC : Négociation et Relation Client</w:t>
      </w:r>
    </w:p>
    <w:p w:rsidR="00282600" w:rsidRPr="00282600" w:rsidRDefault="00282600" w:rsidP="00282600">
      <w:pPr>
        <w:numPr>
          <w:ilvl w:val="0"/>
          <w:numId w:val="3"/>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BTS AG PME PMI : Assistant(e) de Gestion PME PMI</w:t>
      </w:r>
    </w:p>
    <w:p w:rsidR="00282600" w:rsidRPr="00282600" w:rsidRDefault="00282600" w:rsidP="00282600">
      <w:pPr>
        <w:shd w:val="clear" w:color="auto" w:fill="FFFFFF"/>
        <w:spacing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b/>
          <w:bCs/>
          <w:i/>
          <w:iCs/>
          <w:color w:val="333333"/>
          <w:sz w:val="24"/>
          <w:szCs w:val="24"/>
          <w:lang w:eastAsia="fr-FR"/>
        </w:rPr>
        <w:t>DEES (2) : Diplôme Européen d’Etudes Supérieures</w:t>
      </w:r>
    </w:p>
    <w:p w:rsidR="00282600" w:rsidRPr="00282600" w:rsidRDefault="00282600" w:rsidP="00282600">
      <w:pPr>
        <w:numPr>
          <w:ilvl w:val="0"/>
          <w:numId w:val="4"/>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DEES Assistant(e) de Gestion en Ressources Humaines</w:t>
      </w:r>
    </w:p>
    <w:p w:rsidR="00282600" w:rsidRPr="00282600" w:rsidRDefault="00282600" w:rsidP="00282600">
      <w:pPr>
        <w:numPr>
          <w:ilvl w:val="0"/>
          <w:numId w:val="4"/>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DEES Marketing</w:t>
      </w:r>
    </w:p>
    <w:p w:rsidR="00282600" w:rsidRPr="00282600" w:rsidRDefault="00282600" w:rsidP="00282600">
      <w:pPr>
        <w:numPr>
          <w:ilvl w:val="0"/>
          <w:numId w:val="4"/>
        </w:numPr>
        <w:shd w:val="clear" w:color="auto" w:fill="FFFFFF"/>
        <w:spacing w:before="100" w:beforeAutospacing="1" w:after="48" w:line="150" w:lineRule="atLeast"/>
        <w:jc w:val="both"/>
        <w:rPr>
          <w:rFonts w:ascii="Helvetica" w:eastAsia="Times New Roman" w:hAnsi="Helvetica" w:cs="Helvetica"/>
          <w:color w:val="333333"/>
          <w:sz w:val="12"/>
          <w:szCs w:val="12"/>
          <w:lang w:eastAsia="fr-FR"/>
        </w:rPr>
      </w:pPr>
      <w:r w:rsidRPr="00282600">
        <w:rPr>
          <w:rFonts w:ascii="Helvetica" w:eastAsia="Times New Roman" w:hAnsi="Helvetica" w:cs="Helvetica"/>
          <w:color w:val="333333"/>
          <w:sz w:val="24"/>
          <w:szCs w:val="24"/>
          <w:lang w:eastAsia="fr-FR"/>
        </w:rPr>
        <w:t>DEES Management et Gestion des PME</w:t>
      </w:r>
    </w:p>
    <w:p w:rsidR="00584ECD" w:rsidRDefault="00584ECD"/>
    <w:sectPr w:rsidR="00584ECD" w:rsidSect="00584EC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C78" w:rsidRDefault="00F22C78" w:rsidP="00282600">
      <w:pPr>
        <w:spacing w:after="0" w:line="240" w:lineRule="auto"/>
      </w:pPr>
      <w:r>
        <w:separator/>
      </w:r>
    </w:p>
  </w:endnote>
  <w:endnote w:type="continuationSeparator" w:id="0">
    <w:p w:rsidR="00F22C78" w:rsidRDefault="00F22C78" w:rsidP="00282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C78" w:rsidRDefault="00F22C78" w:rsidP="00282600">
      <w:pPr>
        <w:spacing w:after="0" w:line="240" w:lineRule="auto"/>
      </w:pPr>
      <w:r>
        <w:separator/>
      </w:r>
    </w:p>
  </w:footnote>
  <w:footnote w:type="continuationSeparator" w:id="0">
    <w:p w:rsidR="00F22C78" w:rsidRDefault="00F22C78" w:rsidP="00282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121E"/>
    <w:multiLevelType w:val="multilevel"/>
    <w:tmpl w:val="8BE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51DC3"/>
    <w:multiLevelType w:val="multilevel"/>
    <w:tmpl w:val="03B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2F1ECA"/>
    <w:multiLevelType w:val="multilevel"/>
    <w:tmpl w:val="A79A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28B0860"/>
    <w:multiLevelType w:val="multilevel"/>
    <w:tmpl w:val="0AB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282600"/>
    <w:rsid w:val="00282600"/>
    <w:rsid w:val="00584ECD"/>
    <w:rsid w:val="00F22C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826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82600"/>
    <w:rPr>
      <w:b/>
      <w:bCs/>
    </w:rPr>
  </w:style>
  <w:style w:type="character" w:styleId="Accentuation">
    <w:name w:val="Emphasis"/>
    <w:basedOn w:val="Policepardfaut"/>
    <w:uiPriority w:val="20"/>
    <w:qFormat/>
    <w:rsid w:val="00282600"/>
    <w:rPr>
      <w:i/>
      <w:iCs/>
    </w:rPr>
  </w:style>
  <w:style w:type="paragraph" w:styleId="En-tte">
    <w:name w:val="header"/>
    <w:basedOn w:val="Normal"/>
    <w:link w:val="En-tteCar"/>
    <w:uiPriority w:val="99"/>
    <w:semiHidden/>
    <w:unhideWhenUsed/>
    <w:rsid w:val="002826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82600"/>
  </w:style>
  <w:style w:type="paragraph" w:styleId="Pieddepage">
    <w:name w:val="footer"/>
    <w:basedOn w:val="Normal"/>
    <w:link w:val="PieddepageCar"/>
    <w:uiPriority w:val="99"/>
    <w:semiHidden/>
    <w:unhideWhenUsed/>
    <w:rsid w:val="0028260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2600"/>
  </w:style>
</w:styles>
</file>

<file path=word/webSettings.xml><?xml version="1.0" encoding="utf-8"?>
<w:webSettings xmlns:r="http://schemas.openxmlformats.org/officeDocument/2006/relationships" xmlns:w="http://schemas.openxmlformats.org/wordprocessingml/2006/main">
  <w:divs>
    <w:div w:id="52475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1407</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GHANDOUR</dc:creator>
  <cp:lastModifiedBy>GHANDOUR</cp:lastModifiedBy>
  <cp:revision>1</cp:revision>
  <dcterms:created xsi:type="dcterms:W3CDTF">2014-05-20T11:11:00Z</dcterms:created>
  <dcterms:modified xsi:type="dcterms:W3CDTF">2014-05-20T11:13:00Z</dcterms:modified>
</cp:coreProperties>
</file>